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2024年度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参政议政及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‘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百企帮百村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’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等工作经费、商会调解委员会”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项目绩效评价报告</w:t>
      </w:r>
    </w:p>
    <w:p>
      <w:pPr>
        <w:pStyle w:val="3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kern w:val="0"/>
          <w:sz w:val="32"/>
          <w:szCs w:val="32"/>
        </w:rPr>
        <w:t>基本情况</w:t>
      </w:r>
    </w:p>
    <w:p>
      <w:pPr>
        <w:widowControl/>
        <w:autoSpaceDE w:val="0"/>
        <w:autoSpaceDN w:val="0"/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（一）项目概况</w:t>
      </w:r>
    </w:p>
    <w:p>
      <w:pPr>
        <w:widowControl/>
        <w:autoSpaceDE w:val="0"/>
        <w:autoSpaceDN w:val="0"/>
        <w:spacing w:line="560" w:lineRule="exact"/>
        <w:ind w:firstLine="6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以来，市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工商联在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坚强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领导下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上级工商联和市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委统战部的具体指导下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，坚持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以习近平新时代中国特色社会主义思想为指导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牢牢把握政治建会、团结立会、服务兴会、改革强会总要求，紧紧围绕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两个健康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主题履行职责、发挥作用，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各项工作取得了良好成效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入贯彻习近平总书记关于民营经济发展的重要论述，落实全国、省《关于促进民营经济发展壮大的意见》部署要求，牵头召开市政府与民营企业家联系制度座谈会，市政府副市长王恒来与18位工业企业代表面对面座谈和交流。全市各区县、高新区累计走访企业主体4.36万户，发送短信2.36万条，收集企业各类诉求建议189个，现场解决61个，其余汇总移交各区县营商办分类交办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全面落实“千村引领、万村升级”工程，持续推进“万企兴万村”行动走深走实。扎实开展“民营企业家回报家乡”、“大学生返乡创业”、“新黄山人投资兴业”行动，引导全市共有1173家民营企业和商协会参与“万企兴万村”行动，结对579个行政村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累计实施“万企兴万村”项目数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1838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个，其中投资经营类项目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426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个，投资总额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亿元，实际到位资金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24.95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亿元；公益捐赠类项目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1412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个，捐款捐物累计总额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5028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44"/>
          <w:sz w:val="32"/>
          <w:szCs w:val="32"/>
          <w:lang w:val="en-US" w:eastAsia="zh-CN" w:bidi="ar"/>
        </w:rPr>
        <w:t>万元，参与企业数和实施项目数位居全省前列。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发挥市工商联律师法律服务顾问团和调解工作室作用，开展法律知识讲座、法治体检5次，参与企业120余家。参与发挥商会人民调解委员会作用，今年以来共办理民商事纠纷类案件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143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件，其中调解成功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143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件，接受咨询件</w:t>
      </w:r>
      <w:r>
        <w:rPr>
          <w:rFonts w:hint="eastAsia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0余起。与建行、邮储银行、徽商银行签订合作协议，建立“金融指导员”聘任机制，常态化开展“金融服务走基层”活动，开展金融宣讲3次，深入了解民营企业对金融服务诉求，精准引入金融活水。截至目前，已累计向合作金融机构推送1000余户民营企业融资需求，金融机构放款总额逾40亿元，有效缓解中小微企业融资难题。</w:t>
      </w:r>
      <w:bookmarkStart w:id="0" w:name="_GoBack"/>
      <w:bookmarkEnd w:id="0"/>
    </w:p>
    <w:p>
      <w:pPr>
        <w:widowControl/>
        <w:autoSpaceDE w:val="0"/>
        <w:autoSpaceDN w:val="0"/>
        <w:spacing w:line="560" w:lineRule="exact"/>
        <w:ind w:firstLine="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项目全年预算安排资金18.7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万元，项目实际投入资金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18.72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万元，执行率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firstLine="6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项目绩效目标。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总体目标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根据中国特色社会主义参政党建设要求，不断加强自身建设，夯实组织基础，履行参政议政职能，积极开展社会服务工作，为黄山建设贡献力量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2"/>
        </w:numPr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阶段性目标</w:t>
      </w:r>
    </w:p>
    <w:p>
      <w:pPr>
        <w:widowControl/>
        <w:autoSpaceDE w:val="0"/>
        <w:autoSpaceDN w:val="0"/>
        <w:spacing w:after="0"/>
        <w:ind w:firstLine="640"/>
        <w:jc w:val="both"/>
        <w:rPr>
          <w:rFonts w:hint="eastAsia" w:ascii="FangSong_GB2312" w:hAnsi="FangSong_GB2312" w:eastAsia="FangSong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宋体"/>
          <w:kern w:val="0"/>
          <w:sz w:val="32"/>
          <w:szCs w:val="32"/>
          <w:highlight w:val="none"/>
          <w:lang w:val="en-US" w:eastAsia="zh-CN"/>
        </w:rPr>
        <w:t>学习贯彻落实市委市政府各项决策部署，进一步提升履职能力，提升建言献策质量，加强机关效能建设和组织建设，团结凝聚党员力量，不断提高理论素质和参政议政能力；组织党员开展调查研究，并形成调研成果供市委市政府决策参考;提高社会服务工作质量，持续打造社会服务品牌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二、绩效评价工作开展情况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</w:rPr>
        <w:t>（一）绩效评价目的、对象和范围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绩效自评的目的，主要是通过项目立项情况(重点是绩效目标的设置情况)、资金使用情况、项目实施管理情况、项目绩效表现情况自我评价，了解资金使用是否达到了预期目标、资金管理是否规范、资金使用是否有效，检验资金支出效率和效果，分析存在问题及原因，及时总结经验，改进管理措施，不断增强和落实绩效管理责任，完善工作机制，有效提高资金管理水平和使用效益，进一步提升绩效管理水平，强化支出责任，提高财政资金使用效益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绩效自评的对象和范围，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年度部门预算编制绩效目标的项目中，优先选择履职的重大改革发展项目，随机选择一般性项目开展绩效评价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（二）绩效评价原则、评价指标体系、评价方法、评价标准等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1.绩效评价原则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市级财政部门、相关单位根据评价对象的特点分类组织实施。四是绩效相关原则。绩效评价针对具体支出及其产出绩效进行，评价结果应清晰反映支出与产出绩效之间的紧密对应关系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2.评价指标体系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为产出指标、效益指标和满意度指标，产出指标设置开展活动次数、调研成果、组织培训等数量指标、质量指标、时效指标和成本指标，效益指标分为经济效益、社会效益、生态效益和可持续影响指标，满意度指标为基层组织成员满意度指标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3.评价方法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目标效益分析法和公众评判法。</w:t>
      </w:r>
    </w:p>
    <w:p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left="0" w:leftChars="0" w:firstLine="600" w:firstLineChars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绩效评价工作过程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1.前期准备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成立项目绩效评价工作领导小组；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2.组织实施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提项目资料，包括但不限于立项及初设申请、政府相关批复文件、项目实施方案及说明、招投标文件资料、项目合同及协议、验收报告、项目财务管理制度和记账凭证、会计账簿和项目台账等财务资料，评价组实施了包括查看验证项目资料、收集整理财务资料、检查复核资金来源及使用情况、现场查看核实实施进度等认为我们必要的评价程序，并由此形成评价结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3.分析评价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对评价结果进行整改，充分运用分析评价引领预算管理。</w:t>
      </w:r>
    </w:p>
    <w:p>
      <w:pPr>
        <w:widowControl/>
        <w:numPr>
          <w:ilvl w:val="0"/>
          <w:numId w:val="3"/>
        </w:numPr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firstLine="6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经自评，该项目各项指标均达到预期，其中项目产出中的数量指标、质量指标、时效指标、成本指标，项目效益中的经济指标、社会指标、生态指标、可持续影响指标及满意度指标均完成原计划，自评得分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100分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未发现存在明显问题及不足。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四、绩效评价指标分析</w:t>
      </w:r>
    </w:p>
    <w:p>
      <w:pPr>
        <w:widowControl/>
        <w:autoSpaceDE w:val="0"/>
        <w:autoSpaceDN w:val="0"/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（一）项目决策情况分析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项目立项程序规范、目标合理、指标明确，资金已足额到位。</w:t>
      </w:r>
    </w:p>
    <w:p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firstLine="600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项目过程情况分析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1.项目组织情况分析。项目组织有计划有措施，严格执行相关制度和文件规定，顺利完成项目预期目标。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2.项目管理情况分析。领导重视，专人管理，责任明确。</w:t>
      </w:r>
    </w:p>
    <w:p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left="0" w:leftChars="0" w:firstLine="600" w:firstLineChars="0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项目产出情况分析。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财务管理制度基本得到执行，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预算执行率</w:t>
      </w:r>
      <w:r>
        <w:rPr>
          <w:rFonts w:hint="eastAsia" w:ascii="仿宋_GB2312" w:hAnsi="仿宋_GB2312" w:cs="仿宋_GB2312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%。</w:t>
      </w:r>
    </w:p>
    <w:p>
      <w:pPr>
        <w:widowControl/>
        <w:numPr>
          <w:ilvl w:val="0"/>
          <w:numId w:val="4"/>
        </w:numPr>
        <w:autoSpaceDE w:val="0"/>
        <w:autoSpaceDN w:val="0"/>
        <w:spacing w:line="560" w:lineRule="exact"/>
        <w:ind w:left="0" w:leftChars="0" w:firstLine="600" w:firstLineChars="0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项目效益情况分析。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1.项目预期目标完成程度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均完成了年初指标目标任务，确保了日常工作顺利进行。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2.项目实施对经济和社会的影响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utoSpaceDE w:val="0"/>
        <w:autoSpaceDN w:val="0"/>
        <w:spacing w:before="0" w:beforeAutospacing="0" w:after="0" w:afterAutospacing="0" w:line="33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加强自身建设，完善组织架构；认真调研形成优秀成果，收集社情民意信息，供市委市政府决策参考，为地方经济社会发展积极建言献策；开展各类社会服务活动。</w:t>
      </w:r>
    </w:p>
    <w:p>
      <w:pPr>
        <w:widowControl/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主要经验及做法、存在的问题及原因分析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firstLine="640" w:firstLineChars="200"/>
        <w:rPr>
          <w:rFonts w:hint="default" w:ascii="仿宋_GB2312" w:hAnsi="FangSong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FangSong_GB2312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lang w:val="en-US" w:eastAsia="zh-CN"/>
        </w:rPr>
        <w:t>经验：</w:t>
      </w:r>
      <w:r>
        <w:rPr>
          <w:rFonts w:hint="eastAsia" w:ascii="仿宋_GB2312" w:hAnsi="FangSong_GB2312" w:eastAsia="仿宋_GB2312" w:cs="宋体"/>
          <w:kern w:val="0"/>
          <w:sz w:val="32"/>
          <w:szCs w:val="32"/>
          <w:lang w:val="en-US" w:eastAsia="zh-CN"/>
        </w:rPr>
        <w:t>运用好绩效评价手段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FangSong_GB2312" w:eastAsia="仿宋_GB2312" w:cs="宋体"/>
          <w:kern w:val="0"/>
          <w:sz w:val="32"/>
          <w:szCs w:val="32"/>
          <w:lang w:val="en-US" w:eastAsia="zh-CN"/>
        </w:rPr>
        <w:t>明确工作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lang w:val="en-US" w:eastAsia="zh-CN"/>
        </w:rPr>
        <w:t>指标</w:t>
      </w:r>
      <w:r>
        <w:rPr>
          <w:rFonts w:hint="eastAsia" w:ascii="仿宋_GB2312" w:hAnsi="FangSong_GB2312" w:eastAsia="仿宋_GB2312" w:cs="宋体"/>
          <w:kern w:val="0"/>
          <w:sz w:val="32"/>
          <w:szCs w:val="32"/>
          <w:lang w:val="en-US" w:eastAsia="zh-CN"/>
        </w:rPr>
        <w:t>、强化内控管理，有利于提高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lang w:val="en-US" w:eastAsia="zh-CN"/>
        </w:rPr>
        <w:t>资金使用效益</w:t>
      </w:r>
      <w:r>
        <w:rPr>
          <w:rFonts w:hint="eastAsia" w:ascii="仿宋_GB2312" w:hAnsi="FangSong_GB2312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firstLine="640" w:firstLineChars="200"/>
        <w:rPr>
          <w:rFonts w:hint="eastAsia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  <w:t>存在问题</w:t>
      </w:r>
      <w:r>
        <w:rPr>
          <w:rFonts w:hint="eastAsia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Calibri" w:hAnsi="宋体" w:eastAsia="仿宋_GB2312" w:cs="宋体"/>
          <w:color w:val="000000"/>
          <w:kern w:val="0"/>
          <w:sz w:val="32"/>
          <w:szCs w:val="32"/>
          <w:lang w:eastAsia="zh-CN"/>
        </w:rPr>
        <w:t>支出时序性质量不高，存在</w:t>
      </w:r>
      <w:r>
        <w:rPr>
          <w:rFonts w:hint="eastAsia" w:ascii="Calibri" w:hAnsi="宋体" w:eastAsia="仿宋_GB2312" w:cs="宋体"/>
          <w:color w:val="000000"/>
          <w:kern w:val="0"/>
          <w:sz w:val="32"/>
          <w:szCs w:val="32"/>
          <w:lang w:val="en-US" w:eastAsia="zh-CN"/>
        </w:rPr>
        <w:t>集中支出现象</w:t>
      </w:r>
      <w:r>
        <w:rPr>
          <w:rFonts w:hint="default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5"/>
        </w:numPr>
        <w:autoSpaceDE w:val="0"/>
        <w:autoSpaceDN w:val="0"/>
        <w:spacing w:line="560" w:lineRule="exact"/>
        <w:ind w:firstLine="600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下一步改进建议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alibri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Calibri" w:hAnsi="宋体" w:eastAsia="仿宋_GB2312" w:cs="宋体"/>
          <w:color w:val="000000"/>
          <w:kern w:val="0"/>
          <w:sz w:val="32"/>
          <w:szCs w:val="32"/>
          <w:lang w:eastAsia="zh-CN"/>
        </w:rPr>
        <w:t>下一步，我会将继续</w:t>
      </w:r>
      <w:r>
        <w:rPr>
          <w:rFonts w:hint="eastAsia" w:ascii="Calibri" w:hAnsi="宋体" w:eastAsia="仿宋_GB2312" w:cs="宋体"/>
          <w:color w:val="000000"/>
          <w:kern w:val="0"/>
          <w:sz w:val="32"/>
          <w:szCs w:val="32"/>
        </w:rPr>
        <w:t>按照财政支出绩效管理的要求，做好支出进度管理，严格按照“预算编制有目标、预算执行有监控、预算完成有评价、评价结果有反馈、反馈结果有应用”的全过程预算绩效管理机制，不断提高财政资金使用管理的水平和效率。</w:t>
      </w:r>
    </w:p>
    <w:p>
      <w:pPr>
        <w:widowControl/>
        <w:numPr>
          <w:ilvl w:val="0"/>
          <w:numId w:val="5"/>
        </w:numPr>
        <w:autoSpaceDE w:val="0"/>
        <w:autoSpaceDN w:val="0"/>
        <w:spacing w:line="560" w:lineRule="exact"/>
        <w:ind w:left="0" w:leftChars="0" w:firstLine="60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其他需要说明</w:t>
      </w:r>
      <w:r>
        <w:rPr>
          <w:rFonts w:hint="eastAsia" w:ascii="黑体" w:hAnsi="黑体" w:eastAsia="黑体" w:cs="黑体"/>
          <w:kern w:val="0"/>
          <w:sz w:val="32"/>
          <w:szCs w:val="32"/>
        </w:rPr>
        <w:t>的问题</w:t>
      </w:r>
    </w:p>
    <w:p>
      <w:pPr>
        <w:widowControl/>
        <w:numPr>
          <w:ilvl w:val="0"/>
          <w:numId w:val="0"/>
        </w:numPr>
        <w:autoSpaceDE w:val="0"/>
        <w:autoSpaceDN w:val="0"/>
        <w:spacing w:line="560" w:lineRule="exact"/>
        <w:ind w:left="600" w:leftChars="0"/>
        <w:rPr>
          <w:rFonts w:hint="eastAsia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FangSong_GB2312" w:eastAsia="仿宋_GB2312" w:cs="宋体"/>
          <w:kern w:val="0"/>
          <w:sz w:val="32"/>
          <w:szCs w:val="32"/>
          <w:highlight w:val="none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A19D5"/>
    <w:multiLevelType w:val="singleLevel"/>
    <w:tmpl w:val="9B2A19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A1C2BC"/>
    <w:multiLevelType w:val="singleLevel"/>
    <w:tmpl w:val="A7A1C2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685492"/>
    <w:multiLevelType w:val="singleLevel"/>
    <w:tmpl w:val="DF6854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0E4600"/>
    <w:multiLevelType w:val="singleLevel"/>
    <w:tmpl w:val="1D0E46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0637746"/>
    <w:multiLevelType w:val="singleLevel"/>
    <w:tmpl w:val="206377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GNkMmE2ZTE4ZDdiZmM0MTM3Y2NmMWZiODhlOGQifQ=="/>
  </w:docVars>
  <w:rsids>
    <w:rsidRoot w:val="00000000"/>
    <w:rsid w:val="025722C7"/>
    <w:rsid w:val="107F3DE0"/>
    <w:rsid w:val="2DB11787"/>
    <w:rsid w:val="7F0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2467</Words>
  <Characters>2549</Characters>
  <Lines>0</Lines>
  <Paragraphs>0</Paragraphs>
  <TotalTime>0</TotalTime>
  <ScaleCrop>false</ScaleCrop>
  <LinksUpToDate>false</LinksUpToDate>
  <CharactersWithSpaces>2549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WPS_1552917610</cp:lastModifiedBy>
  <dcterms:modified xsi:type="dcterms:W3CDTF">2025-09-18T03:06:48Z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eyJoZGlkIjoiYjdhYzUwMmY4MWJmYThhZTFjNGNmZTc4MjQyOWNkY2EiLCJ1c2VySWQiOiI1MTQyOTgzMTMifQ==</vt:lpwstr>
  </property>
  <property fmtid="{D5CDD505-2E9C-101B-9397-08002B2CF9AE}" pid="4" name="ICV">
    <vt:lpwstr>8B24759E01B1491689902F5EB41C1DE1_13</vt:lpwstr>
  </property>
</Properties>
</file>